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XSpec="center" w:tblpY="-1440"/>
        <w:tblW w:w="9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0"/>
        <w:gridCol w:w="8985"/>
      </w:tblGrid>
      <w:tr w:rsidR="009540E3" w:rsidRPr="00C5275C" w14:paraId="44A07141" w14:textId="77777777" w:rsidTr="00017F68">
        <w:trPr>
          <w:trHeight w:val="710"/>
        </w:trPr>
        <w:tc>
          <w:tcPr>
            <w:tcW w:w="9715" w:type="dxa"/>
            <w:gridSpan w:val="2"/>
          </w:tcPr>
          <w:p w14:paraId="792C54B1" w14:textId="58A347ED" w:rsidR="009540E3" w:rsidRDefault="009540E3" w:rsidP="00017F68">
            <w:pPr>
              <w:spacing w:after="200" w:line="276" w:lineRule="auto"/>
              <w:jc w:val="center"/>
              <w:rPr>
                <w:rFonts w:ascii="Times New Roman" w:eastAsia="Times New Roman" w:hAnsi="Times New Roman" w:cs="Times New Roman"/>
                <w:b/>
                <w:color w:val="FF0000"/>
              </w:rPr>
            </w:pPr>
          </w:p>
          <w:p w14:paraId="6C744C4F" w14:textId="01E5D036" w:rsidR="009540E3" w:rsidRPr="00C5275C" w:rsidRDefault="009540E3" w:rsidP="00017F68">
            <w:pPr>
              <w:spacing w:after="200" w:line="276" w:lineRule="auto"/>
              <w:jc w:val="center"/>
              <w:rPr>
                <w:rFonts w:ascii="Times New Roman" w:eastAsia="Times New Roman" w:hAnsi="Times New Roman" w:cs="Times New Roman"/>
                <w:b/>
                <w:color w:val="FF0000"/>
              </w:rPr>
            </w:pPr>
            <w:r w:rsidRPr="009540E3">
              <w:rPr>
                <w:rFonts w:ascii="Times New Roman" w:eastAsia="Times New Roman" w:hAnsi="Times New Roman" w:cs="Times New Roman"/>
                <w:b/>
                <w:color w:val="FF0000"/>
              </w:rPr>
              <w:t>BMA Bylaws.  Additional changes recommended by attorney Steve Peiffle, July 2019</w:t>
            </w:r>
          </w:p>
        </w:tc>
      </w:tr>
      <w:tr w:rsidR="009540E3" w:rsidRPr="00C5275C" w14:paraId="71ACC19A" w14:textId="77777777" w:rsidTr="00017F68">
        <w:trPr>
          <w:trHeight w:val="504"/>
        </w:trPr>
        <w:tc>
          <w:tcPr>
            <w:tcW w:w="9715" w:type="dxa"/>
            <w:gridSpan w:val="2"/>
            <w:shd w:val="clear" w:color="auto" w:fill="F2F2F2"/>
          </w:tcPr>
          <w:p w14:paraId="5A25A80C" w14:textId="77777777" w:rsidR="009540E3" w:rsidRPr="00C5275C" w:rsidRDefault="009540E3" w:rsidP="00017F68">
            <w:pPr>
              <w:spacing w:after="200" w:line="276" w:lineRule="auto"/>
              <w:rPr>
                <w:rFonts w:ascii="Times New Roman" w:eastAsia="Times New Roman" w:hAnsi="Times New Roman" w:cs="Times New Roman"/>
              </w:rPr>
            </w:pPr>
            <w:r w:rsidRPr="00C5275C">
              <w:rPr>
                <w:rFonts w:ascii="Times New Roman" w:eastAsia="Times New Roman" w:hAnsi="Times New Roman" w:cs="Times New Roman"/>
              </w:rPr>
              <w:t>ARTICLE IV Membership Meeting and Voting</w:t>
            </w:r>
          </w:p>
        </w:tc>
      </w:tr>
      <w:tr w:rsidR="009540E3" w:rsidRPr="00C5275C" w14:paraId="1B4F1BAD" w14:textId="77777777" w:rsidTr="00017F68">
        <w:trPr>
          <w:trHeight w:val="516"/>
        </w:trPr>
        <w:tc>
          <w:tcPr>
            <w:tcW w:w="9715" w:type="dxa"/>
            <w:gridSpan w:val="2"/>
          </w:tcPr>
          <w:p w14:paraId="0B8C2AB5" w14:textId="77777777" w:rsidR="009540E3" w:rsidRPr="00C5275C" w:rsidRDefault="009540E3" w:rsidP="00017F68">
            <w:pPr>
              <w:spacing w:after="200" w:line="276" w:lineRule="auto"/>
              <w:rPr>
                <w:rFonts w:ascii="Times New Roman" w:eastAsia="Times New Roman" w:hAnsi="Times New Roman" w:cs="Times New Roman"/>
              </w:rPr>
            </w:pPr>
            <w:r w:rsidRPr="00C5275C">
              <w:rPr>
                <w:rFonts w:ascii="Times New Roman" w:eastAsia="Times New Roman" w:hAnsi="Times New Roman" w:cs="Times New Roman"/>
              </w:rPr>
              <w:t>4.3     Notice of Meeting</w:t>
            </w:r>
          </w:p>
        </w:tc>
      </w:tr>
      <w:tr w:rsidR="009540E3" w:rsidRPr="00C5275C" w14:paraId="0692AF32" w14:textId="77777777" w:rsidTr="00017F68">
        <w:trPr>
          <w:trHeight w:val="1311"/>
        </w:trPr>
        <w:tc>
          <w:tcPr>
            <w:tcW w:w="730" w:type="dxa"/>
          </w:tcPr>
          <w:p w14:paraId="44E57EFC" w14:textId="77777777" w:rsidR="009540E3" w:rsidRPr="00C5275C" w:rsidRDefault="009540E3" w:rsidP="00017F68">
            <w:pPr>
              <w:spacing w:after="200" w:line="276" w:lineRule="auto"/>
              <w:rPr>
                <w:rFonts w:ascii="Times New Roman" w:eastAsia="Times New Roman" w:hAnsi="Times New Roman" w:cs="Times New Roman"/>
              </w:rPr>
            </w:pPr>
          </w:p>
        </w:tc>
        <w:tc>
          <w:tcPr>
            <w:tcW w:w="8985" w:type="dxa"/>
          </w:tcPr>
          <w:p w14:paraId="334559CC" w14:textId="77777777" w:rsidR="009540E3" w:rsidRPr="00C5275C" w:rsidRDefault="009540E3" w:rsidP="00017F68">
            <w:pPr>
              <w:spacing w:after="0" w:line="240" w:lineRule="auto"/>
              <w:rPr>
                <w:rFonts w:ascii="Times New Roman" w:eastAsia="Times New Roman" w:hAnsi="Times New Roman" w:cs="Times New Roman"/>
                <w:color w:val="000000"/>
              </w:rPr>
            </w:pPr>
            <w:r w:rsidRPr="00C5275C">
              <w:rPr>
                <w:rFonts w:ascii="Times New Roman" w:eastAsia="Times New Roman" w:hAnsi="Times New Roman" w:cs="Times New Roman"/>
                <w:color w:val="000000"/>
              </w:rPr>
              <w:t xml:space="preserve">Not less than fourteen (14) nor more than </w:t>
            </w:r>
            <w:r w:rsidRPr="00C5275C">
              <w:rPr>
                <w:rFonts w:ascii="Times New Roman" w:eastAsia="Times New Roman" w:hAnsi="Times New Roman" w:cs="Times New Roman"/>
                <w:strike/>
                <w:color w:val="000000"/>
              </w:rPr>
              <w:t>forty (40</w:t>
            </w:r>
            <w:r w:rsidRPr="00C5275C">
              <w:rPr>
                <w:rFonts w:ascii="Times New Roman" w:eastAsia="Times New Roman" w:hAnsi="Times New Roman" w:cs="Times New Roman"/>
                <w:color w:val="000000"/>
              </w:rPr>
              <w:t xml:space="preserve">) </w:t>
            </w:r>
            <w:r w:rsidRPr="00C5275C">
              <w:rPr>
                <w:rFonts w:ascii="Times New Roman" w:eastAsia="Times New Roman" w:hAnsi="Times New Roman" w:cs="Times New Roman"/>
                <w:color w:val="FF0000"/>
              </w:rPr>
              <w:t>sixty (60</w:t>
            </w:r>
            <w:r w:rsidRPr="00C5275C">
              <w:rPr>
                <w:rFonts w:ascii="Times New Roman" w:eastAsia="Times New Roman" w:hAnsi="Times New Roman" w:cs="Times New Roman"/>
                <w:color w:val="000000"/>
              </w:rPr>
              <w:t xml:space="preserve">) </w:t>
            </w:r>
            <w:r w:rsidRPr="00A55BB2">
              <w:rPr>
                <w:rFonts w:ascii="Times New Roman" w:eastAsia="Times New Roman" w:hAnsi="Times New Roman" w:cs="Times New Roman"/>
                <w:color w:val="FF0000"/>
              </w:rPr>
              <w:t xml:space="preserve">(RCW 64.38.035) </w:t>
            </w:r>
            <w:r w:rsidRPr="00C5275C">
              <w:rPr>
                <w:rFonts w:ascii="Times New Roman" w:eastAsia="Times New Roman" w:hAnsi="Times New Roman" w:cs="Times New Roman"/>
                <w:color w:val="000000"/>
              </w:rPr>
              <w:t xml:space="preserve">days before the date of an Annual or Special Membership Meeting, the Secretary or members calling the meeting shall give written notice personally or by U.S. Mail, or by e-mail to the address each member provided to the Secretary as their proper address, stating the place, date and time of the meeting, and the purpose(s) for which the meeting is called. Members may specify their preference of U.S. Mail or e-mail. </w:t>
            </w:r>
          </w:p>
        </w:tc>
      </w:tr>
      <w:tr w:rsidR="009540E3" w:rsidRPr="00C5275C" w14:paraId="749E6A94" w14:textId="77777777" w:rsidTr="00017F68">
        <w:trPr>
          <w:trHeight w:val="516"/>
        </w:trPr>
        <w:tc>
          <w:tcPr>
            <w:tcW w:w="9715" w:type="dxa"/>
            <w:gridSpan w:val="2"/>
            <w:shd w:val="clear" w:color="auto" w:fill="F2F2F2"/>
          </w:tcPr>
          <w:p w14:paraId="4457BA99" w14:textId="77777777" w:rsidR="009540E3" w:rsidRPr="00C5275C" w:rsidRDefault="009540E3" w:rsidP="00017F68">
            <w:pPr>
              <w:spacing w:after="200" w:line="276" w:lineRule="auto"/>
              <w:rPr>
                <w:rFonts w:ascii="Times New Roman" w:eastAsia="Times New Roman" w:hAnsi="Times New Roman" w:cs="Times New Roman"/>
                <w:color w:val="000000"/>
              </w:rPr>
            </w:pPr>
            <w:r w:rsidRPr="00C5275C">
              <w:rPr>
                <w:rFonts w:ascii="Times New Roman" w:eastAsia="Times New Roman" w:hAnsi="Times New Roman" w:cs="Times New Roman"/>
                <w:color w:val="000000"/>
              </w:rPr>
              <w:t>ARTICLE V Rules and Regulations</w:t>
            </w:r>
          </w:p>
        </w:tc>
      </w:tr>
      <w:tr w:rsidR="009540E3" w:rsidRPr="00C5275C" w14:paraId="0A6BF918" w14:textId="77777777" w:rsidTr="00017F68">
        <w:trPr>
          <w:trHeight w:val="2068"/>
        </w:trPr>
        <w:tc>
          <w:tcPr>
            <w:tcW w:w="730" w:type="dxa"/>
          </w:tcPr>
          <w:p w14:paraId="7C6B984A" w14:textId="77777777" w:rsidR="009540E3" w:rsidRPr="00C5275C" w:rsidRDefault="009540E3" w:rsidP="00017F68">
            <w:pPr>
              <w:spacing w:after="200" w:line="276" w:lineRule="auto"/>
              <w:rPr>
                <w:rFonts w:ascii="Times New Roman" w:eastAsia="Times New Roman" w:hAnsi="Times New Roman" w:cs="Times New Roman"/>
              </w:rPr>
            </w:pPr>
          </w:p>
        </w:tc>
        <w:tc>
          <w:tcPr>
            <w:tcW w:w="8985" w:type="dxa"/>
          </w:tcPr>
          <w:p w14:paraId="46BE37B5" w14:textId="77777777" w:rsidR="009540E3" w:rsidRPr="00C5275C" w:rsidRDefault="009540E3" w:rsidP="00017F68">
            <w:pPr>
              <w:pBdr>
                <w:top w:val="nil"/>
                <w:left w:val="nil"/>
                <w:bottom w:val="nil"/>
                <w:right w:val="nil"/>
                <w:between w:val="nil"/>
              </w:pBdr>
              <w:spacing w:after="210" w:line="240" w:lineRule="auto"/>
              <w:ind w:right="144"/>
              <w:rPr>
                <w:rFonts w:ascii="Times New Roman" w:eastAsia="Times New Roman" w:hAnsi="Times New Roman" w:cs="Times New Roman"/>
                <w:color w:val="FF0000"/>
              </w:rPr>
            </w:pPr>
            <w:r w:rsidRPr="00C5275C">
              <w:rPr>
                <w:rFonts w:ascii="Times New Roman" w:eastAsia="Times New Roman" w:hAnsi="Times New Roman" w:cs="Times New Roman"/>
                <w:color w:val="000000"/>
              </w:rPr>
              <w:t xml:space="preserve">The Board of Directors may make and enforce such rules and regulations governing the use of Association property, the water system, and any other facilities or property of the Association, including the determination of the charges and assessments which they shall consider to be proper. Board decisions may be appealed to the membership at an Annual or Special Meeting. A two-thirds majority vote of the full Membership is required to change the Board decision. </w:t>
            </w:r>
            <w:r w:rsidRPr="00C5275C">
              <w:rPr>
                <w:rFonts w:ascii="Times New Roman" w:eastAsia="Times New Roman" w:hAnsi="Times New Roman" w:cs="Times New Roman"/>
                <w:color w:val="FF0000"/>
              </w:rPr>
              <w:t>The meetings of the Board of Directors shall be open for observation by all owners of record and their authorized agents (RCW 64.38035).</w:t>
            </w:r>
          </w:p>
        </w:tc>
      </w:tr>
      <w:tr w:rsidR="009540E3" w:rsidRPr="00C5275C" w14:paraId="0614A1A9" w14:textId="77777777" w:rsidTr="00017F68">
        <w:trPr>
          <w:trHeight w:val="504"/>
        </w:trPr>
        <w:tc>
          <w:tcPr>
            <w:tcW w:w="9715" w:type="dxa"/>
            <w:gridSpan w:val="2"/>
            <w:shd w:val="clear" w:color="auto" w:fill="F2F2F2"/>
          </w:tcPr>
          <w:p w14:paraId="6B3FB521" w14:textId="77777777" w:rsidR="009540E3" w:rsidRPr="00C5275C" w:rsidRDefault="009540E3" w:rsidP="00017F68">
            <w:pPr>
              <w:spacing w:after="200" w:line="276" w:lineRule="auto"/>
              <w:rPr>
                <w:rFonts w:ascii="Times New Roman" w:eastAsia="Times New Roman" w:hAnsi="Times New Roman" w:cs="Times New Roman"/>
                <w:color w:val="000000"/>
              </w:rPr>
            </w:pPr>
            <w:r w:rsidRPr="00C5275C">
              <w:rPr>
                <w:rFonts w:ascii="Times New Roman" w:eastAsia="Times New Roman" w:hAnsi="Times New Roman" w:cs="Times New Roman"/>
              </w:rPr>
              <w:t>ARTICLE</w:t>
            </w:r>
            <w:r w:rsidRPr="00C5275C">
              <w:rPr>
                <w:rFonts w:ascii="Times New Roman" w:eastAsia="Times New Roman" w:hAnsi="Times New Roman" w:cs="Times New Roman"/>
                <w:color w:val="000000"/>
              </w:rPr>
              <w:t xml:space="preserve"> VIII Assessments and Collections</w:t>
            </w:r>
          </w:p>
        </w:tc>
      </w:tr>
      <w:tr w:rsidR="009540E3" w:rsidRPr="00C5275C" w14:paraId="3E9580CD" w14:textId="77777777" w:rsidTr="00017F68">
        <w:trPr>
          <w:trHeight w:val="516"/>
        </w:trPr>
        <w:tc>
          <w:tcPr>
            <w:tcW w:w="9715" w:type="dxa"/>
            <w:gridSpan w:val="2"/>
          </w:tcPr>
          <w:p w14:paraId="608A8ECF" w14:textId="77777777" w:rsidR="009540E3" w:rsidRPr="00C5275C" w:rsidRDefault="009540E3" w:rsidP="00017F68">
            <w:pPr>
              <w:spacing w:after="200" w:line="276" w:lineRule="auto"/>
              <w:rPr>
                <w:rFonts w:ascii="Times New Roman" w:eastAsia="Times New Roman" w:hAnsi="Times New Roman" w:cs="Times New Roman"/>
                <w:color w:val="000000"/>
              </w:rPr>
            </w:pPr>
            <w:r w:rsidRPr="00C5275C">
              <w:rPr>
                <w:rFonts w:ascii="Times New Roman" w:eastAsia="Times New Roman" w:hAnsi="Times New Roman" w:cs="Times New Roman"/>
                <w:color w:val="000000"/>
              </w:rPr>
              <w:t>8.5   Out-of-Plat Water Customers</w:t>
            </w:r>
          </w:p>
        </w:tc>
      </w:tr>
      <w:tr w:rsidR="009540E3" w:rsidRPr="00C5275C" w14:paraId="5B7D8EA8" w14:textId="77777777" w:rsidTr="00017F68">
        <w:trPr>
          <w:trHeight w:val="2995"/>
        </w:trPr>
        <w:tc>
          <w:tcPr>
            <w:tcW w:w="730" w:type="dxa"/>
          </w:tcPr>
          <w:p w14:paraId="087B1E01" w14:textId="77777777" w:rsidR="009540E3" w:rsidRPr="00C5275C" w:rsidRDefault="009540E3" w:rsidP="00017F68">
            <w:pPr>
              <w:spacing w:after="200" w:line="276" w:lineRule="auto"/>
              <w:rPr>
                <w:rFonts w:ascii="Times New Roman" w:eastAsia="Times New Roman" w:hAnsi="Times New Roman" w:cs="Times New Roman"/>
              </w:rPr>
            </w:pPr>
          </w:p>
        </w:tc>
        <w:tc>
          <w:tcPr>
            <w:tcW w:w="8985" w:type="dxa"/>
          </w:tcPr>
          <w:p w14:paraId="763AC48E" w14:textId="77777777" w:rsidR="009540E3" w:rsidRPr="00C5275C" w:rsidRDefault="009540E3" w:rsidP="00017F68">
            <w:pPr>
              <w:spacing w:after="172" w:line="240" w:lineRule="auto"/>
              <w:ind w:right="144"/>
              <w:rPr>
                <w:rFonts w:ascii="Times New Roman" w:eastAsia="Times New Roman" w:hAnsi="Times New Roman" w:cs="Times New Roman"/>
                <w:color w:val="000000"/>
              </w:rPr>
            </w:pPr>
            <w:r w:rsidRPr="00C5275C">
              <w:rPr>
                <w:rFonts w:ascii="Times New Roman" w:eastAsia="Times New Roman" w:hAnsi="Times New Roman" w:cs="Times New Roman"/>
                <w:color w:val="000000"/>
              </w:rPr>
              <w:t xml:space="preserve">Out of Plat water users shall be assessed 70% of the value assessed each lot for the Annual Assessment. </w:t>
            </w:r>
          </w:p>
          <w:p w14:paraId="12AA023D" w14:textId="7AAE5BDB" w:rsidR="009540E3" w:rsidRDefault="009540E3" w:rsidP="00017F68">
            <w:pPr>
              <w:spacing w:after="172" w:line="240" w:lineRule="auto"/>
              <w:ind w:right="144"/>
              <w:rPr>
                <w:rFonts w:ascii="Times New Roman" w:eastAsia="Times New Roman" w:hAnsi="Times New Roman" w:cs="Times New Roman"/>
                <w:color w:val="000000"/>
              </w:rPr>
            </w:pPr>
            <w:r w:rsidRPr="00C5275C">
              <w:rPr>
                <w:rFonts w:ascii="Times New Roman" w:eastAsia="Times New Roman" w:hAnsi="Times New Roman" w:cs="Times New Roman"/>
                <w:color w:val="000000"/>
              </w:rPr>
              <w:t xml:space="preserve">In addition, out-of-plat water customers are subject to 100% of the value that each lot owner is assessed for Special Assessments related to the improvement, repair or replacement of the water system and/or components. Out of Plat water users include: </w:t>
            </w:r>
            <w:r w:rsidRPr="00A55BB2">
              <w:rPr>
                <w:rFonts w:ascii="Times New Roman" w:eastAsia="Times New Roman" w:hAnsi="Times New Roman" w:cs="Times New Roman"/>
                <w:strike/>
                <w:color w:val="000000"/>
              </w:rPr>
              <w:t>The John R. Hoppe</w:t>
            </w:r>
            <w:r w:rsidRPr="00C5275C">
              <w:rPr>
                <w:rFonts w:ascii="Times New Roman" w:eastAsia="Times New Roman" w:hAnsi="Times New Roman" w:cs="Times New Roman"/>
                <w:color w:val="000000"/>
              </w:rPr>
              <w:t xml:space="preserve"> </w:t>
            </w:r>
            <w:r w:rsidRPr="00C5275C">
              <w:rPr>
                <w:rFonts w:ascii="Times New Roman" w:eastAsia="Times New Roman" w:hAnsi="Times New Roman" w:cs="Times New Roman"/>
                <w:color w:val="FF0000"/>
              </w:rPr>
              <w:t>Tax Parcel number R33014-3</w:t>
            </w:r>
            <w:r>
              <w:rPr>
                <w:rFonts w:ascii="Times New Roman" w:eastAsia="Times New Roman" w:hAnsi="Times New Roman" w:cs="Times New Roman"/>
                <w:color w:val="FF0000"/>
              </w:rPr>
              <w:t>90</w:t>
            </w:r>
            <w:r w:rsidRPr="00C5275C">
              <w:rPr>
                <w:rFonts w:ascii="Times New Roman" w:eastAsia="Times New Roman" w:hAnsi="Times New Roman" w:cs="Times New Roman"/>
                <w:color w:val="FF0000"/>
              </w:rPr>
              <w:t xml:space="preserve">-0170 </w:t>
            </w:r>
            <w:r w:rsidRPr="00A55BB2">
              <w:rPr>
                <w:rFonts w:ascii="Times New Roman" w:eastAsia="Times New Roman" w:hAnsi="Times New Roman" w:cs="Times New Roman"/>
                <w:strike/>
                <w:color w:val="000000"/>
              </w:rPr>
              <w:t>property</w:t>
            </w:r>
            <w:r w:rsidRPr="00C5275C">
              <w:rPr>
                <w:rFonts w:ascii="Times New Roman" w:eastAsia="Times New Roman" w:hAnsi="Times New Roman" w:cs="Times New Roman"/>
                <w:color w:val="000000"/>
              </w:rPr>
              <w:t xml:space="preserve"> (3307 S. Bernie Road),  </w:t>
            </w:r>
            <w:r w:rsidRPr="00C5275C">
              <w:rPr>
                <w:rFonts w:ascii="Times New Roman" w:eastAsia="Times New Roman" w:hAnsi="Times New Roman" w:cs="Times New Roman"/>
                <w:color w:val="FF0000"/>
              </w:rPr>
              <w:t xml:space="preserve">Tax Parcel number S7125-00-0016-0 </w:t>
            </w:r>
            <w:r w:rsidRPr="00A55BB2">
              <w:rPr>
                <w:rFonts w:ascii="Times New Roman" w:eastAsia="Times New Roman" w:hAnsi="Times New Roman" w:cs="Times New Roman"/>
                <w:strike/>
                <w:color w:val="000000"/>
              </w:rPr>
              <w:t>Jim Waite property</w:t>
            </w:r>
            <w:r w:rsidRPr="00C5275C">
              <w:rPr>
                <w:rFonts w:ascii="Times New Roman" w:eastAsia="Times New Roman" w:hAnsi="Times New Roman" w:cs="Times New Roman"/>
                <w:color w:val="000000"/>
              </w:rPr>
              <w:t xml:space="preserve"> (3902 S. Camano Drive), Tax Parcel number </w:t>
            </w:r>
            <w:r w:rsidRPr="00C5275C">
              <w:rPr>
                <w:rFonts w:ascii="Times New Roman" w:eastAsia="Times New Roman" w:hAnsi="Times New Roman" w:cs="Times New Roman"/>
                <w:color w:val="FF0000"/>
              </w:rPr>
              <w:t xml:space="preserve">R33014-190-0500 </w:t>
            </w:r>
            <w:r w:rsidRPr="00A55BB2">
              <w:rPr>
                <w:rFonts w:ascii="Times New Roman" w:eastAsia="Times New Roman" w:hAnsi="Times New Roman" w:cs="Times New Roman"/>
                <w:strike/>
                <w:color w:val="000000"/>
              </w:rPr>
              <w:t>Jack Archibald Lisa Aumann property</w:t>
            </w:r>
            <w:r w:rsidRPr="00C5275C">
              <w:rPr>
                <w:rFonts w:ascii="Times New Roman" w:eastAsia="Times New Roman" w:hAnsi="Times New Roman" w:cs="Times New Roman"/>
                <w:color w:val="000000"/>
              </w:rPr>
              <w:t xml:space="preserve"> (3995 S. Camano Drive) and, </w:t>
            </w:r>
            <w:r w:rsidRPr="00C5275C">
              <w:rPr>
                <w:rFonts w:ascii="Times New Roman" w:eastAsia="Times New Roman" w:hAnsi="Times New Roman" w:cs="Times New Roman"/>
                <w:color w:val="FF0000"/>
              </w:rPr>
              <w:t xml:space="preserve">Tax Parcel number R33014-272-0270 </w:t>
            </w:r>
            <w:r w:rsidRPr="00A55BB2">
              <w:rPr>
                <w:rFonts w:ascii="Times New Roman" w:eastAsia="Times New Roman" w:hAnsi="Times New Roman" w:cs="Times New Roman"/>
                <w:strike/>
                <w:color w:val="000000"/>
              </w:rPr>
              <w:t>Richard and Bernadine Haas property</w:t>
            </w:r>
            <w:r w:rsidRPr="00C5275C">
              <w:rPr>
                <w:rFonts w:ascii="Times New Roman" w:eastAsia="Times New Roman" w:hAnsi="Times New Roman" w:cs="Times New Roman"/>
                <w:color w:val="000000"/>
              </w:rPr>
              <w:t xml:space="preserve"> (3393 S. Bernie Road). </w:t>
            </w:r>
            <w:r w:rsidRPr="00C5275C">
              <w:rPr>
                <w:rFonts w:ascii="Times New Roman" w:eastAsia="Times New Roman" w:hAnsi="Times New Roman" w:cs="Times New Roman"/>
                <w:color w:val="FF0000"/>
              </w:rPr>
              <w:t xml:space="preserve">Tax Parcel number S7125-00-00020-4 </w:t>
            </w:r>
            <w:r w:rsidRPr="00A55BB2">
              <w:rPr>
                <w:rFonts w:ascii="Times New Roman" w:eastAsia="Times New Roman" w:hAnsi="Times New Roman" w:cs="Times New Roman"/>
                <w:strike/>
                <w:color w:val="000000"/>
              </w:rPr>
              <w:t>Darlene Waite property</w:t>
            </w:r>
            <w:r w:rsidRPr="00C5275C">
              <w:rPr>
                <w:rFonts w:ascii="Times New Roman" w:eastAsia="Times New Roman" w:hAnsi="Times New Roman" w:cs="Times New Roman"/>
                <w:color w:val="000000"/>
              </w:rPr>
              <w:t xml:space="preserve"> (3905 S. Camano Drive) receives complimentary water and beach rights.  </w:t>
            </w:r>
          </w:p>
          <w:p w14:paraId="1F24A292" w14:textId="77777777" w:rsidR="009540E3" w:rsidRPr="00C5275C" w:rsidRDefault="009540E3" w:rsidP="00017F68">
            <w:pPr>
              <w:spacing w:after="172" w:line="240" w:lineRule="auto"/>
              <w:ind w:right="144"/>
              <w:rPr>
                <w:rFonts w:ascii="Times New Roman" w:eastAsia="Times New Roman" w:hAnsi="Times New Roman" w:cs="Times New Roman"/>
                <w:color w:val="000000"/>
              </w:rPr>
            </w:pPr>
          </w:p>
        </w:tc>
      </w:tr>
      <w:tr w:rsidR="009540E3" w:rsidRPr="00C5275C" w14:paraId="1A63399D" w14:textId="77777777" w:rsidTr="00017F68">
        <w:trPr>
          <w:trHeight w:val="444"/>
        </w:trPr>
        <w:tc>
          <w:tcPr>
            <w:tcW w:w="9715" w:type="dxa"/>
            <w:gridSpan w:val="2"/>
          </w:tcPr>
          <w:p w14:paraId="7AD6B824" w14:textId="77777777" w:rsidR="009540E3" w:rsidRPr="00C5275C" w:rsidRDefault="009540E3" w:rsidP="00017F68">
            <w:pPr>
              <w:spacing w:after="172" w:line="240" w:lineRule="auto"/>
              <w:ind w:right="144"/>
              <w:rPr>
                <w:rFonts w:ascii="Times New Roman" w:eastAsia="Times New Roman" w:hAnsi="Times New Roman" w:cs="Times New Roman"/>
                <w:color w:val="000000"/>
              </w:rPr>
            </w:pPr>
            <w:r>
              <w:rPr>
                <w:rFonts w:ascii="Times New Roman" w:eastAsia="Times New Roman" w:hAnsi="Times New Roman" w:cs="Times New Roman"/>
                <w:color w:val="000000"/>
              </w:rPr>
              <w:t>8.6 Out of Plat Beach Rights Users</w:t>
            </w:r>
          </w:p>
        </w:tc>
      </w:tr>
      <w:tr w:rsidR="009540E3" w:rsidRPr="00C5275C" w14:paraId="7F472800" w14:textId="77777777" w:rsidTr="009540E3">
        <w:trPr>
          <w:trHeight w:val="1160"/>
        </w:trPr>
        <w:tc>
          <w:tcPr>
            <w:tcW w:w="730" w:type="dxa"/>
          </w:tcPr>
          <w:p w14:paraId="6BA5EB50" w14:textId="77777777" w:rsidR="009540E3" w:rsidRPr="00C5275C" w:rsidRDefault="009540E3" w:rsidP="00017F68">
            <w:pPr>
              <w:spacing w:after="200" w:line="276" w:lineRule="auto"/>
              <w:rPr>
                <w:rFonts w:ascii="Times New Roman" w:eastAsia="Times New Roman" w:hAnsi="Times New Roman" w:cs="Times New Roman"/>
              </w:rPr>
            </w:pPr>
          </w:p>
        </w:tc>
        <w:tc>
          <w:tcPr>
            <w:tcW w:w="8985" w:type="dxa"/>
          </w:tcPr>
          <w:p w14:paraId="387C2F80" w14:textId="77777777" w:rsidR="009540E3" w:rsidRDefault="009540E3" w:rsidP="00017F68">
            <w:pPr>
              <w:spacing w:after="172" w:line="240" w:lineRule="auto"/>
              <w:ind w:right="239"/>
              <w:rPr>
                <w:rFonts w:ascii="Times New Roman" w:eastAsia="Bookman Old Style" w:hAnsi="Times New Roman" w:cs="Times New Roman"/>
              </w:rPr>
            </w:pPr>
            <w:r w:rsidRPr="00C5275C">
              <w:rPr>
                <w:rFonts w:ascii="Times New Roman" w:eastAsia="Bookman Old Style" w:hAnsi="Times New Roman" w:cs="Times New Roman"/>
              </w:rPr>
              <w:t xml:space="preserve">Out-of-Plat beach right users shall be assessed 20% of the value assessed each lot for the Annual Assessment. In addition, out-of-plat beach rights users are subject to 100% of the value that each lot owner is assessed for Special Assessments related to the improvement, repair or replacement of the bulkhead and/or access trail. Note that </w:t>
            </w:r>
            <w:r w:rsidRPr="00C5275C">
              <w:rPr>
                <w:rFonts w:ascii="Times New Roman" w:eastAsia="Bookman Old Style" w:hAnsi="Times New Roman" w:cs="Times New Roman"/>
                <w:color w:val="FF0000"/>
              </w:rPr>
              <w:t>Tax Parcel number S7125-00-00017-0</w:t>
            </w:r>
            <w:r w:rsidRPr="00C5275C">
              <w:rPr>
                <w:rFonts w:ascii="Times New Roman" w:eastAsia="Bookman Old Style" w:hAnsi="Times New Roman" w:cs="Times New Roman"/>
              </w:rPr>
              <w:t xml:space="preserve"> </w:t>
            </w:r>
            <w:r w:rsidRPr="00C5275C">
              <w:rPr>
                <w:rFonts w:ascii="Times New Roman" w:eastAsia="Bookman Old Style" w:hAnsi="Times New Roman" w:cs="Times New Roman"/>
                <w:strike/>
                <w:u w:val="single"/>
              </w:rPr>
              <w:t xml:space="preserve">Sue Anderson/Steve </w:t>
            </w:r>
            <w:r w:rsidRPr="00A55BB2">
              <w:rPr>
                <w:rFonts w:ascii="Times New Roman" w:eastAsia="Bookman Old Style" w:hAnsi="Times New Roman" w:cs="Times New Roman"/>
                <w:strike/>
                <w:u w:val="single"/>
              </w:rPr>
              <w:t xml:space="preserve">Moody </w:t>
            </w:r>
            <w:r w:rsidRPr="00A55BB2">
              <w:rPr>
                <w:rFonts w:ascii="Times New Roman" w:eastAsia="Bookman Old Style" w:hAnsi="Times New Roman" w:cs="Times New Roman"/>
                <w:strike/>
              </w:rPr>
              <w:t>property</w:t>
            </w:r>
            <w:r w:rsidRPr="00C5275C">
              <w:rPr>
                <w:rFonts w:ascii="Times New Roman" w:eastAsia="Bookman Old Style" w:hAnsi="Times New Roman" w:cs="Times New Roman"/>
              </w:rPr>
              <w:t xml:space="preserve"> (3922 S. Camano Drive) is not subject to Brutus Special Assessments because they pay 100% of the cost to maintain the Bulkhead on their own property which protects the Brutus Beach access trail. Beach access users include: </w:t>
            </w:r>
            <w:r w:rsidRPr="00C5275C">
              <w:rPr>
                <w:rFonts w:ascii="Times New Roman" w:eastAsia="Bookman Old Style" w:hAnsi="Times New Roman" w:cs="Times New Roman"/>
                <w:color w:val="FF0000"/>
              </w:rPr>
              <w:t>Tax Parcel number S7125-00-0016-0</w:t>
            </w:r>
            <w:r w:rsidRPr="00C5275C">
              <w:rPr>
                <w:rFonts w:ascii="Times New Roman" w:eastAsia="Bookman Old Style" w:hAnsi="Times New Roman" w:cs="Times New Roman"/>
              </w:rPr>
              <w:t xml:space="preserve"> </w:t>
            </w:r>
            <w:r w:rsidRPr="00C5275C">
              <w:rPr>
                <w:rFonts w:ascii="Times New Roman" w:eastAsia="Bookman Old Style" w:hAnsi="Times New Roman" w:cs="Times New Roman"/>
                <w:strike/>
              </w:rPr>
              <w:t xml:space="preserve">Jim Waite </w:t>
            </w:r>
            <w:r w:rsidRPr="00A55BB2">
              <w:rPr>
                <w:rFonts w:ascii="Times New Roman" w:eastAsia="Bookman Old Style" w:hAnsi="Times New Roman" w:cs="Times New Roman"/>
                <w:strike/>
              </w:rPr>
              <w:t>property</w:t>
            </w:r>
            <w:r w:rsidRPr="00C5275C">
              <w:rPr>
                <w:rFonts w:ascii="Times New Roman" w:eastAsia="Bookman Old Style" w:hAnsi="Times New Roman" w:cs="Times New Roman"/>
              </w:rPr>
              <w:t xml:space="preserve"> (3902 S. Camano Drive), </w:t>
            </w:r>
            <w:r w:rsidRPr="00C5275C">
              <w:rPr>
                <w:rFonts w:ascii="Times New Roman" w:eastAsia="Bookman Old Style" w:hAnsi="Times New Roman" w:cs="Times New Roman"/>
                <w:color w:val="FF0000"/>
              </w:rPr>
              <w:t>Tax Parcel number R33014-190-0500</w:t>
            </w:r>
            <w:r w:rsidRPr="00C5275C">
              <w:rPr>
                <w:rFonts w:ascii="Times New Roman" w:eastAsia="Bookman Old Style" w:hAnsi="Times New Roman" w:cs="Times New Roman"/>
              </w:rPr>
              <w:t xml:space="preserve"> Jack</w:t>
            </w:r>
            <w:r w:rsidRPr="00C5275C">
              <w:rPr>
                <w:rFonts w:ascii="Times New Roman" w:eastAsia="Bookman Old Style" w:hAnsi="Times New Roman" w:cs="Times New Roman"/>
                <w:strike/>
              </w:rPr>
              <w:t xml:space="preserve"> Archibald Lisa Aumann</w:t>
            </w:r>
            <w:bookmarkStart w:id="0" w:name="_GoBack"/>
            <w:bookmarkEnd w:id="0"/>
            <w:r w:rsidRPr="00C5275C">
              <w:rPr>
                <w:rFonts w:ascii="Times New Roman" w:eastAsia="Bookman Old Style" w:hAnsi="Times New Roman" w:cs="Times New Roman"/>
              </w:rPr>
              <w:t xml:space="preserve"> </w:t>
            </w:r>
            <w:r w:rsidRPr="00A55BB2">
              <w:rPr>
                <w:rFonts w:ascii="Times New Roman" w:eastAsia="Bookman Old Style" w:hAnsi="Times New Roman" w:cs="Times New Roman"/>
                <w:strike/>
              </w:rPr>
              <w:t>property</w:t>
            </w:r>
            <w:r w:rsidRPr="00C5275C">
              <w:rPr>
                <w:rFonts w:ascii="Times New Roman" w:eastAsia="Bookman Old Style" w:hAnsi="Times New Roman" w:cs="Times New Roman"/>
              </w:rPr>
              <w:t xml:space="preserve"> (3995 S. Camano Drive) and </w:t>
            </w:r>
            <w:r w:rsidRPr="00C5275C">
              <w:rPr>
                <w:rFonts w:ascii="Times New Roman" w:eastAsia="Bookman Old Style" w:hAnsi="Times New Roman" w:cs="Times New Roman"/>
                <w:color w:val="FF0000"/>
              </w:rPr>
              <w:t>Tax Parcel number S7125-00-00017-0</w:t>
            </w:r>
            <w:r w:rsidRPr="00C5275C">
              <w:rPr>
                <w:rFonts w:ascii="Times New Roman" w:eastAsia="Bookman Old Style" w:hAnsi="Times New Roman" w:cs="Times New Roman"/>
              </w:rPr>
              <w:t xml:space="preserve"> </w:t>
            </w:r>
            <w:r w:rsidRPr="00C5275C">
              <w:rPr>
                <w:rFonts w:ascii="Times New Roman" w:eastAsia="Bookman Old Style" w:hAnsi="Times New Roman" w:cs="Times New Roman"/>
                <w:strike/>
              </w:rPr>
              <w:t>Sue Anderson/Steve Moody</w:t>
            </w:r>
            <w:r w:rsidRPr="00C5275C">
              <w:rPr>
                <w:rFonts w:ascii="Times New Roman" w:eastAsia="Bookman Old Style" w:hAnsi="Times New Roman" w:cs="Times New Roman"/>
              </w:rPr>
              <w:t xml:space="preserve"> </w:t>
            </w:r>
            <w:r w:rsidRPr="00C5275C">
              <w:rPr>
                <w:rFonts w:ascii="Times New Roman" w:eastAsia="Bookman Old Style" w:hAnsi="Times New Roman" w:cs="Times New Roman"/>
                <w:strike/>
              </w:rPr>
              <w:t>Chris Sweeney</w:t>
            </w:r>
            <w:r w:rsidRPr="00C5275C">
              <w:rPr>
                <w:rFonts w:ascii="Times New Roman" w:eastAsia="Bookman Old Style" w:hAnsi="Times New Roman" w:cs="Times New Roman"/>
              </w:rPr>
              <w:t xml:space="preserve"> </w:t>
            </w:r>
            <w:r w:rsidRPr="00A55BB2">
              <w:rPr>
                <w:rFonts w:ascii="Times New Roman" w:eastAsia="Bookman Old Style" w:hAnsi="Times New Roman" w:cs="Times New Roman"/>
                <w:strike/>
              </w:rPr>
              <w:t>property</w:t>
            </w:r>
            <w:r w:rsidRPr="00C5275C">
              <w:rPr>
                <w:rFonts w:ascii="Times New Roman" w:eastAsia="Bookman Old Style" w:hAnsi="Times New Roman" w:cs="Times New Roman"/>
              </w:rPr>
              <w:t xml:space="preserve"> (3922 S. </w:t>
            </w:r>
            <w:r w:rsidRPr="00C5275C">
              <w:rPr>
                <w:rFonts w:ascii="Times New Roman" w:eastAsia="Bookman Old Style" w:hAnsi="Times New Roman" w:cs="Times New Roman"/>
              </w:rPr>
              <w:lastRenderedPageBreak/>
              <w:t xml:space="preserve">Camano Drive). Note that even though Jim Waite </w:t>
            </w:r>
            <w:r w:rsidRPr="00C5275C">
              <w:rPr>
                <w:rFonts w:ascii="Times New Roman" w:eastAsia="Bookman Old Style" w:hAnsi="Times New Roman" w:cs="Times New Roman"/>
                <w:color w:val="FF0000"/>
              </w:rPr>
              <w:t>(Tax Parcel number S7125-00-0016-0)</w:t>
            </w:r>
            <w:r w:rsidRPr="00C5275C">
              <w:rPr>
                <w:rFonts w:ascii="Times New Roman" w:eastAsia="Bookman Old Style" w:hAnsi="Times New Roman" w:cs="Times New Roman"/>
              </w:rPr>
              <w:t xml:space="preserve"> is included in the Waite family beach access grant (see 8.7 below), they chose to sign a beach access agreement so that future owners of their property would have Brutus Beach Access rights; therefore they pay </w:t>
            </w:r>
            <w:r w:rsidRPr="00C5275C">
              <w:rPr>
                <w:rFonts w:ascii="Times New Roman" w:eastAsia="Bookman Old Style" w:hAnsi="Times New Roman" w:cs="Times New Roman"/>
                <w:strike/>
              </w:rPr>
              <w:t xml:space="preserve">full fare </w:t>
            </w:r>
            <w:r w:rsidRPr="00C5275C">
              <w:rPr>
                <w:rFonts w:ascii="Times New Roman" w:eastAsia="Bookman Old Style" w:hAnsi="Times New Roman" w:cs="Times New Roman"/>
                <w:color w:val="FF0000"/>
              </w:rPr>
              <w:t>full cost of any regular or special assessments.</w:t>
            </w:r>
          </w:p>
          <w:p w14:paraId="57414D81" w14:textId="4DBE2853" w:rsidR="009540E3" w:rsidRPr="009540E3" w:rsidRDefault="009540E3" w:rsidP="009540E3">
            <w:pPr>
              <w:rPr>
                <w:rFonts w:ascii="Times New Roman" w:eastAsia="Bookman Old Style" w:hAnsi="Times New Roman" w:cs="Times New Roman"/>
              </w:rPr>
            </w:pPr>
          </w:p>
        </w:tc>
      </w:tr>
      <w:tr w:rsidR="009540E3" w:rsidRPr="00C5275C" w14:paraId="296844EB" w14:textId="77777777" w:rsidTr="00017F68">
        <w:trPr>
          <w:trHeight w:val="504"/>
        </w:trPr>
        <w:tc>
          <w:tcPr>
            <w:tcW w:w="9715" w:type="dxa"/>
            <w:gridSpan w:val="2"/>
          </w:tcPr>
          <w:p w14:paraId="67D6758B" w14:textId="77777777" w:rsidR="009540E3" w:rsidRPr="00C5275C" w:rsidRDefault="009540E3" w:rsidP="00017F68">
            <w:pPr>
              <w:spacing w:after="200" w:line="276" w:lineRule="auto"/>
              <w:rPr>
                <w:rFonts w:ascii="Times New Roman" w:eastAsia="Times New Roman" w:hAnsi="Times New Roman" w:cs="Times New Roman"/>
              </w:rPr>
            </w:pPr>
            <w:r w:rsidRPr="00C5275C">
              <w:rPr>
                <w:rFonts w:ascii="Times New Roman" w:eastAsia="Times New Roman" w:hAnsi="Times New Roman" w:cs="Times New Roman"/>
              </w:rPr>
              <w:lastRenderedPageBreak/>
              <w:t xml:space="preserve">8.8   Date of Commencement of Annual </w:t>
            </w:r>
            <w:r>
              <w:rPr>
                <w:rFonts w:ascii="Times New Roman" w:eastAsia="Times New Roman" w:hAnsi="Times New Roman" w:cs="Times New Roman"/>
                <w:color w:val="FF0000"/>
              </w:rPr>
              <w:t xml:space="preserve">or Special </w:t>
            </w:r>
            <w:r w:rsidRPr="00C5275C">
              <w:rPr>
                <w:rFonts w:ascii="Times New Roman" w:eastAsia="Times New Roman" w:hAnsi="Times New Roman" w:cs="Times New Roman"/>
              </w:rPr>
              <w:t>Assessments</w:t>
            </w:r>
          </w:p>
        </w:tc>
      </w:tr>
      <w:tr w:rsidR="009540E3" w:rsidRPr="00C5275C" w14:paraId="4F2EEABC" w14:textId="77777777" w:rsidTr="009540E3">
        <w:trPr>
          <w:trHeight w:val="7550"/>
        </w:trPr>
        <w:tc>
          <w:tcPr>
            <w:tcW w:w="730" w:type="dxa"/>
          </w:tcPr>
          <w:p w14:paraId="2028A2AC" w14:textId="77777777" w:rsidR="009540E3" w:rsidRPr="00C5275C" w:rsidRDefault="009540E3" w:rsidP="00017F68">
            <w:pPr>
              <w:spacing w:after="200" w:line="276" w:lineRule="auto"/>
              <w:rPr>
                <w:rFonts w:ascii="Times New Roman" w:eastAsia="Times New Roman" w:hAnsi="Times New Roman" w:cs="Times New Roman"/>
              </w:rPr>
            </w:pPr>
          </w:p>
        </w:tc>
        <w:tc>
          <w:tcPr>
            <w:tcW w:w="8985" w:type="dxa"/>
          </w:tcPr>
          <w:p w14:paraId="51F555E8" w14:textId="77777777" w:rsidR="009540E3" w:rsidRDefault="009540E3" w:rsidP="00017F68">
            <w:pPr>
              <w:spacing w:after="3" w:line="240" w:lineRule="auto"/>
              <w:ind w:right="144"/>
              <w:rPr>
                <w:rFonts w:ascii="Times New Roman" w:eastAsia="Bookman Old Style" w:hAnsi="Times New Roman" w:cs="Times New Roman"/>
              </w:rPr>
            </w:pPr>
            <w:r w:rsidRPr="00A55BB2">
              <w:rPr>
                <w:rFonts w:ascii="Times New Roman" w:eastAsia="Bookman Old Style" w:hAnsi="Times New Roman" w:cs="Times New Roman"/>
              </w:rPr>
              <w:t xml:space="preserve">The annual assessments shall commence on the first day of such month as determined by the Board of Directors of the Association, and shall be made for the balance of the calendar year and shall be due and payable on the date fixed by the Board. Annual assessments for any year after the first year shall become due and payable on June 1 of such year. If the annual assessment is not paid within thirty (30) days, the Secretary of the Association shall notify the owner by certified mail with return receipt that the annual assessment is overdue, and request immediate payment. If payment is not then made within the specified thirty (30) days, the Secretary of the Association shall give final notice to the owner by certified mail with return receipt that the annual assessment is overdue, and request payment within fifteen (15) days or the water will be shut off and a $100 reconnection fee be assessed. The water will not be turned back on until all past annual assessments, special assessments and fines have been paid. </w:t>
            </w:r>
            <w:r w:rsidRPr="00A55BB2">
              <w:rPr>
                <w:rFonts w:ascii="Times New Roman" w:eastAsia="Bookman Old Style" w:hAnsi="Times New Roman" w:cs="Times New Roman"/>
                <w:strike/>
              </w:rPr>
              <w:t>If payment is not then made within the specified fifteen (15)</w:t>
            </w:r>
            <w:r w:rsidRPr="00A55BB2">
              <w:rPr>
                <w:rFonts w:ascii="Times New Roman" w:eastAsia="Bookman Old Style" w:hAnsi="Times New Roman" w:cs="Times New Roman"/>
              </w:rPr>
              <w:t xml:space="preserve"> </w:t>
            </w:r>
            <w:r w:rsidRPr="00A55BB2">
              <w:rPr>
                <w:rFonts w:ascii="Times New Roman" w:eastAsia="Bookman Old Style" w:hAnsi="Times New Roman" w:cs="Times New Roman"/>
                <w:strike/>
              </w:rPr>
              <w:t>days, the President of the Association will notify the water system manager, who will contact the County Sheriff to proceed</w:t>
            </w:r>
            <w:r w:rsidRPr="00A55BB2">
              <w:rPr>
                <w:rFonts w:ascii="Times New Roman" w:eastAsia="Bookman Old Style" w:hAnsi="Times New Roman" w:cs="Times New Roman"/>
              </w:rPr>
              <w:t xml:space="preserve"> </w:t>
            </w:r>
            <w:r w:rsidRPr="00A55BB2">
              <w:rPr>
                <w:rFonts w:ascii="Times New Roman" w:eastAsia="Bookman Old Style" w:hAnsi="Times New Roman" w:cs="Times New Roman"/>
                <w:strike/>
              </w:rPr>
              <w:t>with water shut off. If, after 6 months, the assessments and fines remain unpaid, the Secretary of the Association shall</w:t>
            </w:r>
            <w:r w:rsidRPr="00A55BB2">
              <w:rPr>
                <w:rFonts w:ascii="Times New Roman" w:eastAsia="Bookman Old Style" w:hAnsi="Times New Roman" w:cs="Times New Roman"/>
              </w:rPr>
              <w:t xml:space="preserve"> </w:t>
            </w:r>
            <w:r w:rsidRPr="00A55BB2">
              <w:rPr>
                <w:rFonts w:ascii="Times New Roman" w:eastAsia="Bookman Old Style" w:hAnsi="Times New Roman" w:cs="Times New Roman"/>
                <w:strike/>
              </w:rPr>
              <w:t>notify the owner by certified mail with return receipt that the water meter will be removed immediately and the water</w:t>
            </w:r>
            <w:r w:rsidRPr="00A55BB2">
              <w:rPr>
                <w:rFonts w:ascii="Times New Roman" w:eastAsia="Bookman Old Style" w:hAnsi="Times New Roman" w:cs="Times New Roman"/>
              </w:rPr>
              <w:t xml:space="preserve"> </w:t>
            </w:r>
            <w:r w:rsidRPr="00A55BB2">
              <w:rPr>
                <w:rFonts w:ascii="Times New Roman" w:eastAsia="Bookman Old Style" w:hAnsi="Times New Roman" w:cs="Times New Roman"/>
                <w:strike/>
              </w:rPr>
              <w:t xml:space="preserve">hook–up charge of $10,000.00 shall be assessed </w:t>
            </w:r>
            <w:r w:rsidRPr="00A55BB2">
              <w:rPr>
                <w:rFonts w:ascii="Times New Roman" w:eastAsia="Bookman Old Style" w:hAnsi="Times New Roman" w:cs="Times New Roman"/>
                <w:color w:val="FF0000"/>
              </w:rPr>
              <w:t xml:space="preserve">  </w:t>
            </w:r>
            <w:r w:rsidRPr="00A55BB2">
              <w:rPr>
                <w:rFonts w:ascii="Times New Roman" w:eastAsia="Bookman Old Style" w:hAnsi="Times New Roman" w:cs="Times New Roman"/>
              </w:rPr>
              <w:t xml:space="preserve">If payment is not made within fifteen (15) days, the President of the Association will notify the Water Systems Manager to proceed with water shut off. If after 6 months, the assessments and fines remain unpaid, the Secretary of the Association shall notify the owner by certified mail, with return receipt that the water meter will be removed immediately and a reasonable water hook-up charge of up to $10,000.00 shall be assessed.  </w:t>
            </w:r>
          </w:p>
          <w:p w14:paraId="4BED92AD" w14:textId="77777777" w:rsidR="009540E3" w:rsidRPr="00A55BB2" w:rsidRDefault="009540E3" w:rsidP="00017F68">
            <w:pPr>
              <w:spacing w:after="3" w:line="240" w:lineRule="auto"/>
              <w:ind w:right="144"/>
              <w:rPr>
                <w:rFonts w:ascii="Times New Roman" w:eastAsia="Bookman Old Style" w:hAnsi="Times New Roman" w:cs="Times New Roman"/>
              </w:rPr>
            </w:pPr>
          </w:p>
          <w:p w14:paraId="7420D82D" w14:textId="77777777" w:rsidR="009540E3" w:rsidRPr="00A55BB2" w:rsidRDefault="009540E3" w:rsidP="00017F68">
            <w:pPr>
              <w:spacing w:after="176" w:line="240" w:lineRule="auto"/>
              <w:ind w:right="144"/>
              <w:rPr>
                <w:rFonts w:ascii="Times New Roman" w:eastAsia="Bookman Old Style" w:hAnsi="Times New Roman" w:cs="Times New Roman"/>
              </w:rPr>
            </w:pPr>
            <w:r w:rsidRPr="00A55BB2">
              <w:rPr>
                <w:rFonts w:ascii="Times New Roman" w:eastAsia="Bookman Old Style" w:hAnsi="Times New Roman" w:cs="Times New Roman"/>
              </w:rPr>
              <w:t xml:space="preserve">The amount of the initial annual assessment for the first year in which assessments are made for any property which become subject to assessment for the first time shall be prorated on a calendar year basis according to the date of the first assessment or the date on which property first became subject to assessment. </w:t>
            </w:r>
          </w:p>
          <w:p w14:paraId="04767338" w14:textId="2AE70638" w:rsidR="009540E3" w:rsidRPr="009540E3" w:rsidRDefault="009540E3" w:rsidP="00017F68">
            <w:pPr>
              <w:pBdr>
                <w:top w:val="nil"/>
                <w:left w:val="nil"/>
                <w:bottom w:val="nil"/>
                <w:right w:val="nil"/>
                <w:between w:val="nil"/>
              </w:pBdr>
              <w:spacing w:after="200" w:line="240" w:lineRule="auto"/>
              <w:rPr>
                <w:rFonts w:ascii="Times New Roman" w:eastAsia="Calibri" w:hAnsi="Times New Roman" w:cs="Times New Roman"/>
              </w:rPr>
            </w:pPr>
            <w:r w:rsidRPr="00C5275C">
              <w:rPr>
                <w:rFonts w:ascii="Times New Roman" w:eastAsia="Calibri" w:hAnsi="Times New Roman" w:cs="Times New Roman"/>
              </w:rPr>
              <w:t xml:space="preserve">The due date </w:t>
            </w:r>
            <w:r w:rsidRPr="00C5275C">
              <w:rPr>
                <w:rFonts w:ascii="Times New Roman" w:eastAsia="Calibri" w:hAnsi="Times New Roman" w:cs="Times New Roman"/>
                <w:color w:val="FF0000"/>
              </w:rPr>
              <w:t xml:space="preserve">or dates </w:t>
            </w:r>
            <w:r w:rsidRPr="00C5275C">
              <w:rPr>
                <w:rFonts w:ascii="Times New Roman" w:eastAsia="Calibri" w:hAnsi="Times New Roman" w:cs="Times New Roman"/>
              </w:rPr>
              <w:t xml:space="preserve">of any special assessment </w:t>
            </w:r>
            <w:r w:rsidRPr="00C5275C">
              <w:rPr>
                <w:rFonts w:ascii="Times New Roman" w:eastAsia="Calibri" w:hAnsi="Times New Roman" w:cs="Times New Roman"/>
                <w:color w:val="FF0000"/>
              </w:rPr>
              <w:t xml:space="preserve">and any interest thereon </w:t>
            </w:r>
            <w:r w:rsidRPr="00C5275C">
              <w:rPr>
                <w:rFonts w:ascii="Times New Roman" w:eastAsia="Calibri" w:hAnsi="Times New Roman" w:cs="Times New Roman"/>
              </w:rPr>
              <w:t>shall be fixed in the resolution authorizing such assessment</w:t>
            </w:r>
          </w:p>
        </w:tc>
      </w:tr>
      <w:tr w:rsidR="009540E3" w:rsidRPr="00C5275C" w14:paraId="728C4E5F" w14:textId="77777777" w:rsidTr="00017F68">
        <w:trPr>
          <w:trHeight w:val="516"/>
        </w:trPr>
        <w:tc>
          <w:tcPr>
            <w:tcW w:w="9715" w:type="dxa"/>
            <w:gridSpan w:val="2"/>
          </w:tcPr>
          <w:p w14:paraId="55EFFB66" w14:textId="77777777" w:rsidR="009540E3" w:rsidRPr="00C5275C" w:rsidRDefault="009540E3" w:rsidP="00017F68">
            <w:pPr>
              <w:pBdr>
                <w:top w:val="nil"/>
                <w:left w:val="nil"/>
                <w:bottom w:val="nil"/>
                <w:right w:val="nil"/>
                <w:between w:val="nil"/>
              </w:pBdr>
              <w:spacing w:after="200" w:line="276" w:lineRule="auto"/>
              <w:rPr>
                <w:rFonts w:ascii="Times New Roman" w:eastAsia="Calibri" w:hAnsi="Times New Roman" w:cs="Times New Roman"/>
                <w:color w:val="FF0000"/>
              </w:rPr>
            </w:pPr>
            <w:r w:rsidRPr="00C5275C">
              <w:rPr>
                <w:rFonts w:ascii="Times New Roman" w:eastAsia="Calibri" w:hAnsi="Times New Roman" w:cs="Times New Roman"/>
                <w:color w:val="FF0000"/>
              </w:rPr>
              <w:t>8.10 Interest and Costs of Collection</w:t>
            </w:r>
          </w:p>
        </w:tc>
      </w:tr>
      <w:tr w:rsidR="009540E3" w:rsidRPr="00C5275C" w14:paraId="77B52D33" w14:textId="77777777" w:rsidTr="00017F68">
        <w:trPr>
          <w:trHeight w:val="2092"/>
        </w:trPr>
        <w:tc>
          <w:tcPr>
            <w:tcW w:w="730" w:type="dxa"/>
          </w:tcPr>
          <w:p w14:paraId="0BA775F2" w14:textId="77777777" w:rsidR="009540E3" w:rsidRPr="00C5275C" w:rsidRDefault="009540E3" w:rsidP="00017F68">
            <w:pPr>
              <w:spacing w:after="200" w:line="276" w:lineRule="auto"/>
              <w:rPr>
                <w:rFonts w:ascii="Times New Roman" w:eastAsia="Times New Roman" w:hAnsi="Times New Roman" w:cs="Times New Roman"/>
              </w:rPr>
            </w:pPr>
            <w:r w:rsidRPr="00C5275C">
              <w:rPr>
                <w:rFonts w:ascii="Times New Roman" w:eastAsia="Times New Roman" w:hAnsi="Times New Roman" w:cs="Times New Roman"/>
                <w:noProof/>
              </w:rPr>
              <w:drawing>
                <wp:inline distT="0" distB="0" distL="0" distR="0" wp14:anchorId="7ED4D5F5" wp14:editId="46211F79">
                  <wp:extent cx="7212965" cy="65849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212965" cy="658495"/>
                          </a:xfrm>
                          <a:prstGeom prst="rect">
                            <a:avLst/>
                          </a:prstGeom>
                          <a:noFill/>
                          <a:ln>
                            <a:noFill/>
                          </a:ln>
                        </pic:spPr>
                      </pic:pic>
                    </a:graphicData>
                  </a:graphic>
                </wp:inline>
              </w:drawing>
            </w:r>
          </w:p>
        </w:tc>
        <w:tc>
          <w:tcPr>
            <w:tcW w:w="8985" w:type="dxa"/>
          </w:tcPr>
          <w:p w14:paraId="326479E4" w14:textId="77777777" w:rsidR="009540E3" w:rsidRPr="00C5275C" w:rsidRDefault="009540E3" w:rsidP="00017F68">
            <w:pPr>
              <w:pBdr>
                <w:top w:val="nil"/>
                <w:left w:val="nil"/>
                <w:bottom w:val="nil"/>
                <w:right w:val="nil"/>
                <w:between w:val="nil"/>
              </w:pBdr>
              <w:spacing w:after="0" w:line="240" w:lineRule="auto"/>
              <w:rPr>
                <w:rFonts w:ascii="Times New Roman" w:eastAsia="Times New Roman" w:hAnsi="Times New Roman" w:cs="Times New Roman"/>
                <w:color w:val="FF0000"/>
              </w:rPr>
            </w:pPr>
            <w:r w:rsidRPr="00C5275C">
              <w:rPr>
                <w:rFonts w:ascii="Times New Roman" w:eastAsia="Times New Roman" w:hAnsi="Times New Roman" w:cs="Times New Roman"/>
                <w:color w:val="FF0000"/>
              </w:rPr>
              <w:t>The Association shall be entitled to collect interest on any unpaid annual or special assessment, or any special assessment for which interest or carrying costs are approved, from the date due until paid, at the rate set out in the special assessment (if any), or otherwise at ten percent (10.0%) per annum.  In addition, the Association shall be entitled to recover all of its reasonable costs of collection, including, but not limited to, reasonable attorney’s fees, lien or recording fees, or collection agency fees resulting from any enforcement action taken by the Association</w:t>
            </w:r>
          </w:p>
          <w:p w14:paraId="53A4E36A" w14:textId="77777777" w:rsidR="009540E3" w:rsidRPr="00C5275C" w:rsidRDefault="009540E3" w:rsidP="00017F68">
            <w:pPr>
              <w:pBdr>
                <w:top w:val="nil"/>
                <w:left w:val="nil"/>
                <w:bottom w:val="nil"/>
                <w:right w:val="nil"/>
                <w:between w:val="nil"/>
              </w:pBdr>
              <w:spacing w:after="200" w:line="276" w:lineRule="auto"/>
              <w:rPr>
                <w:rFonts w:ascii="Times New Roman" w:eastAsia="Calibri" w:hAnsi="Times New Roman" w:cs="Times New Roman"/>
              </w:rPr>
            </w:pPr>
          </w:p>
        </w:tc>
      </w:tr>
    </w:tbl>
    <w:p w14:paraId="7C93F99B" w14:textId="77777777" w:rsidR="009540E3" w:rsidRDefault="009540E3" w:rsidP="009540E3"/>
    <w:p w14:paraId="53DBA7B8" w14:textId="77777777" w:rsidR="009540E3" w:rsidRDefault="009540E3" w:rsidP="009540E3"/>
    <w:p w14:paraId="794BB1BA" w14:textId="77777777" w:rsidR="006E7C1B" w:rsidRDefault="006E7C1B"/>
    <w:sectPr w:rsidR="006E7C1B" w:rsidSect="00ED60E2">
      <w:footerReference w:type="default" r:id="rId5"/>
      <w:pgSz w:w="12240" w:h="15840" w:code="1"/>
      <w:pgMar w:top="720" w:right="720" w:bottom="720" w:left="720" w:header="1008"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63381984"/>
      <w:docPartObj>
        <w:docPartGallery w:val="Page Numbers (Bottom of Page)"/>
        <w:docPartUnique/>
      </w:docPartObj>
    </w:sdtPr>
    <w:sdtEndPr/>
    <w:sdtContent>
      <w:sdt>
        <w:sdtPr>
          <w:id w:val="-1769616900"/>
          <w:docPartObj>
            <w:docPartGallery w:val="Page Numbers (Top of Page)"/>
            <w:docPartUnique/>
          </w:docPartObj>
        </w:sdtPr>
        <w:sdtEndPr/>
        <w:sdtContent>
          <w:p w14:paraId="7FC14E61" w14:textId="77777777" w:rsidR="009C2D0A" w:rsidRDefault="009540E3" w:rsidP="009C2D0A">
            <w:pPr>
              <w:pStyle w:val="Footer"/>
            </w:pPr>
            <w:r>
              <w:t xml:space="preserve">Summary of July 2019 BMB Bylaw Feedback from Attorney </w:t>
            </w:r>
            <w:r>
              <w:tab/>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5E8CEE2" w14:textId="77777777" w:rsidR="009C2D0A" w:rsidRDefault="009540E3">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0E3"/>
    <w:rsid w:val="006E7C1B"/>
    <w:rsid w:val="009540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D301B"/>
  <w15:chartTrackingRefBased/>
  <w15:docId w15:val="{0C0E15DF-B461-4F68-B173-4AE1D0855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40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540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40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981</Words>
  <Characters>5595</Characters>
  <Application>Microsoft Office Word</Application>
  <DocSecurity>0</DocSecurity>
  <Lines>46</Lines>
  <Paragraphs>13</Paragraphs>
  <ScaleCrop>false</ScaleCrop>
  <Company/>
  <LinksUpToDate>false</LinksUpToDate>
  <CharactersWithSpaces>6563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Solatka</dc:creator>
  <cp:keywords/>
  <dc:description/>
  <cp:lastModifiedBy>Debbie Solatka</cp:lastModifiedBy>
  <cp:revision>1</cp:revision>
  <dcterms:created xsi:type="dcterms:W3CDTF">2020-02-12T21:38:00Z</dcterms:created>
  <dcterms:modified xsi:type="dcterms:W3CDTF">2020-02-12T21:46:00Z</dcterms:modified>
</cp:coreProperties>
</file>